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rFonts w:ascii="Times New Roman" w:hAnsi="Times New Roman" w:cs="Times New Roman" w:eastAsia="Times New Roman"/>
          <w:color w:val="1329F2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1329F2"/>
          <w:sz w:val="28"/>
          <w:highlight w:val="none"/>
        </w:rPr>
        <w:t xml:space="preserve">ИЗНАЧАЛЬНО ВЫШЕСТОЯЩИЙ ДОМ ИЗНАЧАЛЬНО ВЫШЕСТОЯЩЕГО ОТЦА</w:t>
      </w:r>
      <w:r>
        <w:rPr>
          <w:rFonts w:ascii="Times New Roman" w:hAnsi="Times New Roman" w:cs="Times New Roman" w:eastAsia="Times New Roman"/>
          <w:color w:val="1329F2"/>
          <w:sz w:val="28"/>
          <w:highlight w:val="none"/>
        </w:rPr>
      </w:r>
    </w:p>
    <w:p>
      <w:pPr>
        <w:pStyle w:val="813"/>
        <w:jc w:val="center"/>
        <w:rPr>
          <w:rFonts w:ascii="Times New Roman" w:hAnsi="Times New Roman" w:cs="Times New Roman" w:eastAsia="Times New Roman"/>
          <w:color w:val="1329F2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1329F2"/>
          <w:sz w:val="28"/>
          <w:highlight w:val="none"/>
        </w:rPr>
        <w:t xml:space="preserve">ПОДРАЗДЕЛЕНИЕ ИВДИВО МОСКВА, РОССИЯ</w:t>
      </w:r>
      <w:r>
        <w:rPr>
          <w:rFonts w:ascii="Times New Roman" w:hAnsi="Times New Roman" w:cs="Times New Roman" w:eastAsia="Times New Roman"/>
          <w:color w:val="1329F2"/>
          <w:sz w:val="28"/>
          <w:highlight w:val="none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  <w:t xml:space="preserve">Утверждаю. ИВАС КХ 23062022</w:t>
      </w: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  <w:t xml:space="preserve">Утверждаю. АС КХ</w:t>
      </w: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  <w:t xml:space="preserve"> 23062022</w:t>
      </w:r>
      <w:r/>
    </w:p>
    <w:p>
      <w:pPr>
        <w:pStyle w:val="813"/>
        <w:jc w:val="center"/>
        <w:rPr>
          <w:rFonts w:ascii="Times New Roman" w:hAnsi="Times New Roman" w:cs="Times New Roman" w:eastAsia="Times New Roman"/>
          <w:color w:val="1329F2"/>
          <w:sz w:val="24"/>
        </w:rPr>
      </w:pPr>
      <w:r>
        <w:rPr>
          <w:rFonts w:ascii="Times New Roman" w:hAnsi="Times New Roman" w:cs="Times New Roman" w:eastAsia="Times New Roman"/>
          <w:color w:val="1329F2"/>
          <w:sz w:val="24"/>
        </w:rPr>
        <w:t xml:space="preserve">Дела подразделения и решения о реализации Синтеза</w:t>
      </w:r>
      <w:r/>
    </w:p>
    <w:p>
      <w:pPr>
        <w:pStyle w:val="813"/>
        <w:rPr>
          <w:rFonts w:ascii="Times New Roman" w:hAnsi="Times New Roman" w:cs="Times New Roman" w:eastAsia="Times New Roman"/>
          <w:color w:val="1329F2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329F2"/>
          <w:sz w:val="24"/>
        </w:rPr>
        <w:t xml:space="preserve">июнь 2022 г.</w:t>
      </w:r>
      <w:r>
        <w:rPr>
          <w:rFonts w:ascii="Times New Roman" w:hAnsi="Times New Roman" w:cs="Times New Roman" w:eastAsia="Times New Roman"/>
          <w:color w:val="1329F2"/>
          <w:sz w:val="24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ВАЖНО! </w:t>
      </w:r>
      <w:r/>
      <w:r>
        <w:rPr>
          <w:rFonts w:ascii="Times New Roman" w:hAnsi="Times New Roman" w:cs="Times New Roman" w:eastAsia="Times New Roman"/>
          <w:sz w:val="22"/>
        </w:rPr>
        <w:t xml:space="preserve">Организоваться и отстроиться у Главы ИВДИВО ИВАС Кут Хуми и Главы подразделения ИВДИВО Москва, Россия </w:t>
      </w:r>
      <w:r>
        <w:rPr>
          <w:rFonts w:ascii="Times New Roman" w:hAnsi="Times New Roman" w:cs="Times New Roman" w:eastAsia="Times New Roman"/>
          <w:sz w:val="22"/>
        </w:rPr>
        <w:t xml:space="preserve">АС Кут Хуми на </w:t>
      </w:r>
      <w:r>
        <w:rPr>
          <w:rFonts w:ascii="Times New Roman" w:hAnsi="Times New Roman" w:cs="Times New Roman" w:eastAsia="Times New Roman"/>
          <w:sz w:val="22"/>
        </w:rPr>
        <w:t xml:space="preserve">75.557.863.725.914.323.419.072 синтез-ивдиво-реальности в 448 пра-ивдиво-реальности 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ракурсом  подразделения на той позиции, которая указана в ДК! </w:t>
      </w: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  <w:t xml:space="preserve">Согласно Рс. 3 п.2 </w:t>
      </w:r>
      <w:r>
        <w:rPr>
          <w:rFonts w:ascii="Times New Roman" w:hAnsi="Times New Roman" w:cs="Times New Roman" w:eastAsia="Times New Roman"/>
          <w:sz w:val="22"/>
        </w:rPr>
        <w:t xml:space="preserve">на Советах, занятиях по ДК, практиках горизонта 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действовать в 448 п-и-р, так как утверждено явление подразделения ИВДИВО ракурсом явления Аватаров Синтеза </w:t>
      </w:r>
      <w:r>
        <w:rPr>
          <w:rFonts w:ascii="Times New Roman" w:hAnsi="Times New Roman" w:cs="Times New Roman" w:eastAsia="Times New Roman"/>
          <w:sz w:val="22"/>
        </w:rPr>
        <w:t xml:space="preserve">Главы ИВДИВО 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ИВАС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 Кут Хуми на 448 пра-ивдиво-реальности.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2"/>
          <w:highlight w:val="none"/>
        </w:rPr>
        <w:t xml:space="preserve">Приложени 1</w:t>
      </w:r>
      <w:r/>
      <w:r>
        <w:rPr>
          <w:rFonts w:ascii="Times New Roman" w:hAnsi="Times New Roman" w:cs="Times New Roman" w:eastAsia="Times New Roman"/>
          <w:color w:val="FF0000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1. Ввести новую традицию итогами окончания курса Синтеза: выдача сертификатов об окончании курса синтеза с внесением в книгу подразделения имён, прошедших подготовку Синтезами ИВО.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2. Ввести постоянную работу со зданием ИВДИВО территории Москва, Россия, стоящее по границам города Москва (включая новую Москву) и невозожжённым территориям России и напрямую сопряженное со зданием подразделения из экополиса ИВАС КХ Мг Фа на 16320 вцр. 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3. В здание ИВДИВО территории начать насыщение и концентрацию Синтеза и Огня ИВО ракурсом Должностной Компетенции каждого.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4. Ввести в деятельность Должностно Компетентных подразделения ИВДИВО:  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
- </w:t>
      </w:r>
      <w:r>
        <w:rPr>
          <w:rFonts w:ascii="Times New Roman" w:hAnsi="Times New Roman" w:cs="Times New Roman" w:eastAsia="Times New Roman"/>
          <w:color w:val="FF0000"/>
          <w:sz w:val="22"/>
        </w:rPr>
        <w:t xml:space="preserve">ежедневное</w:t>
      </w:r>
      <w:r>
        <w:rPr>
          <w:rFonts w:ascii="Times New Roman" w:hAnsi="Times New Roman" w:cs="Times New Roman" w:eastAsia="Times New Roman"/>
          <w:sz w:val="22"/>
        </w:rPr>
        <w:t xml:space="preserve"> эманирование и постоянное поддерживание в развитии каждого гражданина территории Искрами Синтеза, вмещёнными в  Ядро Синтеза Должностной Компетенции ИВДИВО состава подразделения ИВДИВО;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
- обязательное </w:t>
      </w:r>
      <w:r>
        <w:rPr>
          <w:rFonts w:ascii="Times New Roman" w:hAnsi="Times New Roman" w:cs="Times New Roman" w:eastAsia="Times New Roman"/>
          <w:color w:val="FF0000"/>
          <w:sz w:val="22"/>
        </w:rPr>
        <w:t xml:space="preserve">ежемесячное</w:t>
      </w:r>
      <w:r>
        <w:rPr>
          <w:rFonts w:ascii="Times New Roman" w:hAnsi="Times New Roman" w:cs="Times New Roman" w:eastAsia="Times New Roman"/>
          <w:sz w:val="22"/>
        </w:rPr>
        <w:t xml:space="preserve"> участие в двух Советах ИВДИВО – Парадигмальном и ракурсом должностной компетенции ИВДИВО;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   - разработка, фиксация, концентрация и явление соответствующей Части ИВО, порученной должностной компетенцией ИВДИВО в реализацию;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   - обязательное </w:t>
      </w:r>
      <w:r>
        <w:rPr>
          <w:rFonts w:ascii="Times New Roman" w:hAnsi="Times New Roman" w:cs="Times New Roman" w:eastAsia="Times New Roman"/>
          <w:color w:val="FF0000"/>
          <w:sz w:val="22"/>
        </w:rPr>
        <w:t xml:space="preserve">ежемесячное</w:t>
      </w:r>
      <w:r>
        <w:rPr>
          <w:rFonts w:ascii="Times New Roman" w:hAnsi="Times New Roman" w:cs="Times New Roman" w:eastAsia="Times New Roman"/>
          <w:sz w:val="22"/>
        </w:rPr>
        <w:t xml:space="preserve"> участие в одном из праздничных мероприятий ИВДИВО в явлении концентрации Синтезом и Огнём его ракурса населению;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   - участие в работе одной из 16 организаций ИВДИВО в собственном росте и применении наработанного.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5. Запланировать на ноябрь 2022 года начало первого курса Синтеза, ведущий Аватар Синтеза Виталий Сердюк.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6. Продолжить активную организацию и набор на первый курс Янского Синтеза, ведущая Аватаресса Синтеза Ольга Сердюк.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7. Начать два подготовительных курса Синтеза в подготовке к первым курсам Синтеза:
28.06.22 в офисе на Воронцовской в 19-00: 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Янский Подготовительный Синтез (6а) – Владыка Синтеза ИВО Самигуллин Рашид,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  <w:t xml:space="preserve">Гражданский Синтез (8каб) – Владычица Синтеза Финогенова Елена. </w:t>
      </w: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</w:rPr>
        <w:t xml:space="preserve">8. Развернуть Зов на первые курсы МФЧС и все мероприятия по подготовке к ним.  
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  <w:t xml:space="preserve">9. Всему составу подразделения ИВДИВО 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стяжать (если ещё не стяжали 01.06) и выявить Фа до понедельника, 27.06.</w:t>
      </w: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  <w:t xml:space="preserve">10. Начать </w:t>
      </w:r>
      <w:r>
        <w:rPr>
          <w:rFonts w:ascii="Times New Roman" w:hAnsi="Times New Roman" w:cs="Times New Roman" w:eastAsia="Times New Roman"/>
          <w:color w:val="FF0000"/>
          <w:sz w:val="22"/>
          <w:highlight w:val="none"/>
        </w:rPr>
        <w:t xml:space="preserve">ежемесячно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 проведение уроков Служения 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каждым Аватаром ИВДИВО</w:t>
      </w:r>
      <w:r>
        <w:rPr>
          <w:rFonts w:ascii="Times New Roman" w:hAnsi="Times New Roman" w:cs="Times New Roman" w:eastAsia="Times New Roman"/>
          <w:sz w:val="22"/>
          <w:highlight w:val="none"/>
        </w:rPr>
        <w:t xml:space="preserve"> ведением Синтеза организации  публикацией темы и практики в общем информационном пространстве подразделения ИВДИВО онлайн формате (чат подразделения в телеграм). </w:t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both"/>
        <w:rPr>
          <w:rFonts w:ascii="Times New Roman" w:hAnsi="Times New Roman" w:cs="Times New Roman" w:eastAsia="Times New Roman"/>
          <w:sz w:val="22"/>
          <w:highlight w:val="none"/>
        </w:rPr>
      </w:pPr>
      <w:r>
        <w:rPr>
          <w:rFonts w:ascii="Times New Roman" w:hAnsi="Times New Roman" w:cs="Times New Roman" w:eastAsia="Times New Roman"/>
          <w:b/>
          <w:sz w:val="22"/>
          <w:highlight w:val="none"/>
        </w:rPr>
        <w:t xml:space="preserve">*</w:t>
      </w:r>
      <w:r>
        <w:rPr>
          <w:rFonts w:ascii="Times New Roman" w:hAnsi="Times New Roman" w:cs="Times New Roman" w:eastAsia="Times New Roman"/>
          <w:b/>
          <w:sz w:val="22"/>
          <w:highlight w:val="none"/>
        </w:rPr>
        <w:t xml:space="preserve">При любых возникающих вопросах обращаться к Аватарам ИВДИВО.</w:t>
      </w:r>
      <w:r>
        <w:rPr>
          <w:rFonts w:ascii="Times New Roman" w:hAnsi="Times New Roman" w:cs="Times New Roman" w:eastAsia="Times New Roman"/>
          <w:b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none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  <w:t xml:space="preserve">Совет ИВО</w:t>
      </w: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0"/>
        </w:rPr>
        <w:t xml:space="preserve">Приложение 1</w:t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p>
      <w:pPr>
        <w:pStyle w:val="813"/>
        <w:jc w:val="center"/>
        <w:rPr>
          <w:rFonts w:ascii="Times New Roman" w:hAnsi="Times New Roman" w:cs="Times New Roman" w:eastAsia="Times New Roman"/>
          <w:color w:val="auto"/>
          <w:sz w:val="20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  <w:t xml:space="preserve">Явление подразделений ИВДИВО ракурсом явления Аватаров Синтеза </w:t>
      </w:r>
      <w:r>
        <w:rPr>
          <w:color w:val="auto"/>
        </w:rPr>
      </w:r>
    </w:p>
    <w:p>
      <w:pPr>
        <w:pStyle w:val="813"/>
        <w:jc w:val="center"/>
        <w:rPr>
          <w:rFonts w:ascii="Times New Roman" w:hAnsi="Times New Roman" w:cs="Times New Roman" w:eastAsia="Times New Roman"/>
          <w:color w:val="auto"/>
          <w:sz w:val="20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  <w:t xml:space="preserve">Изначально </w:t>
      </w: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  <w:t xml:space="preserve">Вышестоящего Аватара Синтеза Кут Хуми </w:t>
      </w:r>
      <w:r>
        <w:rPr>
          <w:rFonts w:ascii="Times New Roman" w:hAnsi="Times New Roman" w:cs="Times New Roman" w:eastAsia="Times New Roman"/>
          <w:color w:val="1329F2"/>
          <w:sz w:val="20"/>
          <w:highlight w:val="none"/>
        </w:rPr>
        <w:t xml:space="preserve">на 448 пра-ивдиво-реальности</w:t>
      </w: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0"/>
          <w:highlight w:val="none"/>
        </w:rPr>
      </w:r>
    </w:p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color w:val="FF0000"/>
          <w:sz w:val="20"/>
        </w:rPr>
      </w:r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70"/>
        <w:gridCol w:w="1163"/>
        <w:gridCol w:w="1163"/>
        <w:gridCol w:w="1163"/>
        <w:gridCol w:w="1163"/>
        <w:gridCol w:w="1163"/>
        <w:gridCol w:w="1163"/>
        <w:gridCol w:w="1163"/>
        <w:gridCol w:w="362"/>
      </w:tblGrid>
      <w:tr>
        <w:trPr>
          <w:trHeight w:val="1229"/>
        </w:trPr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  <w:t xml:space="preserve">ИВАС </w:t>
            </w:r>
            <w:r>
              <w:rPr>
                <w:b/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  <w:t xml:space="preserve">Кут Хуми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  <w:t xml:space="preserve">ИВДИВО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16"/>
                <w:highlight w:val="none"/>
              </w:rPr>
              <w:t xml:space="preserve">448 п-и-р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70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Москва, Р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419.072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</w:t>
            </w:r>
            <w:r>
              <w:rPr>
                <w:color w:val="1329F2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ИВДИВО Крым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419.071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С-Петербург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</w:t>
            </w:r>
            <w:r/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419.070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Московия</w:t>
            </w:r>
            <w:r>
              <w:rPr>
                <w:color w:val="1329F2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419.069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Краснодар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419.068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Красноярск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419.067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Новосибирск</w:t>
            </w:r>
            <w:r>
              <w:rPr>
                <w:color w:val="1329F2"/>
              </w:rPr>
            </w:r>
            <w:r>
              <w:rPr>
                <w:color w:val="1329F2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419.066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jc w:val="left"/>
              <w:rPr>
                <w:color w:val="1329F2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Подр. ИВДИВО Екатеринбург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75.557.863.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725.914.323.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419.065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с-и-р</w:t>
            </w:r>
            <w:r>
              <w:rPr>
                <w:color w:val="1329F2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и т.д.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Кут Хуми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ИВДИВО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</w:t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914.323.419.072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Иосиф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ВШС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914.323.419.071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Мория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Цивилизации Ч-С 16</w:t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914.323.419.070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Филипп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МАН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914.323.419.069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Византий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МИСФ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914.323.419.068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Янов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МГК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914.323.419.067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Юлий</w:t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МС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914.323.419.066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АС 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Юсеф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Глава горизонта Нации Культуры Ч-С 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75.557.863.725.</w:t>
            </w:r>
            <w:r/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914.323.419.065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с-и-р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>
              <w:rPr>
                <w:color w:val="1329F2"/>
              </w:rPr>
            </w:r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pStyle w:val="813"/>
              <w:jc w:val="center"/>
              <w:rPr>
                <w:rFonts w:ascii="Times New Roman" w:hAnsi="Times New Roman" w:cs="Times New Roman" w:eastAsia="Times New Roman"/>
                <w:color w:val="1329F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color w:val="1329F2"/>
                <w:sz w:val="16"/>
                <w:highlight w:val="none"/>
              </w:rPr>
            </w:r>
            <w:r/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  <w:tr>
        <w:trPr/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13"/>
              <w:jc w:val="left"/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  <w:t xml:space="preserve">и т.д.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highlight w:val="none"/>
              </w:rPr>
            </w:r>
          </w:p>
        </w:tc>
        <w:tc>
          <w:tcPr>
            <w:tcW w:w="1170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813"/>
              <w:jc w:val="right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  <w:tc>
          <w:tcPr>
            <w:tcW w:w="362" w:type="dxa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highlight w:val="none"/>
              </w:rPr>
            </w:r>
          </w:p>
        </w:tc>
      </w:tr>
    </w:tbl>
    <w:p>
      <w:pPr>
        <w:pStyle w:val="813"/>
        <w:jc w:val="right"/>
        <w:rPr>
          <w:rFonts w:ascii="Times New Roman" w:hAnsi="Times New Roman" w:cs="Times New Roman" w:eastAsia="Times New Roman"/>
          <w:color w:val="FF0000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</w:r>
      <w:r>
        <w:rPr>
          <w:rFonts w:ascii="Times New Roman" w:hAnsi="Times New Roman" w:cs="Times New Roman" w:eastAsia="Times New Roman"/>
          <w:color w:val="FF0000"/>
          <w:sz w:val="20"/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2022-06-23T13:15:18Z</dcterms:modified>
</cp:coreProperties>
</file>